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C8006">
      <w:pPr>
        <w:snapToGrid w:val="0"/>
        <w:spacing w:before="120" w:after="120" w:line="360" w:lineRule="auto"/>
        <w:jc w:val="center"/>
        <w:outlineLvl w:val="0"/>
        <w:rPr>
          <w:rFonts w:hint="eastAsia" w:ascii="方正仿宋_GB2312" w:hAnsi="方正仿宋_GB2312" w:eastAsia="方正仿宋_GB2312" w:cs="方正仿宋_GB2312"/>
          <w:b/>
          <w:bCs w:val="0"/>
          <w:color w:val="auto"/>
          <w:sz w:val="36"/>
          <w:szCs w:val="36"/>
          <w:highlight w:val="none"/>
        </w:rPr>
      </w:pPr>
      <w:r>
        <w:rPr>
          <w:rFonts w:hint="eastAsia" w:ascii="方正仿宋_GB2312" w:hAnsi="方正仿宋_GB2312" w:eastAsia="方正仿宋_GB2312" w:cs="方正仿宋_GB2312"/>
          <w:b/>
          <w:bCs w:val="0"/>
          <w:color w:val="auto"/>
          <w:sz w:val="36"/>
          <w:szCs w:val="36"/>
          <w:highlight w:val="none"/>
        </w:rPr>
        <w:t>采购需求</w:t>
      </w:r>
    </w:p>
    <w:p w14:paraId="6E18AF74">
      <w:pPr>
        <w:snapToGrid w:val="0"/>
        <w:spacing w:before="120" w:after="120" w:line="0" w:lineRule="atLeas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项目属性：服务类项目</w:t>
      </w:r>
    </w:p>
    <w:p w14:paraId="1F7E55AB">
      <w:pPr>
        <w:snapToGrid w:val="0"/>
        <w:spacing w:before="120" w:after="120" w:line="0" w:lineRule="atLeas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本项目采购标的对应的中小企业划分标准所属行业：其他未列明行业</w:t>
      </w:r>
    </w:p>
    <w:p w14:paraId="5B07DC74">
      <w:pPr>
        <w:snapToGrid w:val="0"/>
        <w:spacing w:before="120" w:after="120" w:line="0" w:lineRule="atLeas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本项目不接受进口产品。</w:t>
      </w:r>
    </w:p>
    <w:p w14:paraId="504B7735">
      <w:pPr>
        <w:pStyle w:val="5"/>
        <w:spacing w:before="72" w:beforeLines="25" w:after="72" w:afterLines="25" w:line="500" w:lineRule="exact"/>
        <w:ind w:firstLine="567"/>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一、项目基础信息</w:t>
      </w:r>
    </w:p>
    <w:p w14:paraId="51B2C8E9">
      <w:pPr>
        <w:pStyle w:val="5"/>
        <w:spacing w:line="500" w:lineRule="exact"/>
        <w:ind w:firstLine="567"/>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1.项目名称：</w:t>
      </w:r>
      <w:r>
        <w:rPr>
          <w:rFonts w:hint="eastAsia" w:ascii="方正仿宋_GBK" w:hAnsi="方正仿宋_GBK" w:eastAsia="方正仿宋_GBK" w:cs="方正仿宋_GBK"/>
          <w:color w:val="auto"/>
          <w:sz w:val="24"/>
          <w:szCs w:val="24"/>
          <w:lang w:eastAsia="zh-CN"/>
        </w:rPr>
        <w:t>林业碳汇计量监测项目</w:t>
      </w:r>
    </w:p>
    <w:p w14:paraId="709BD143">
      <w:pPr>
        <w:pStyle w:val="5"/>
        <w:spacing w:line="500" w:lineRule="exact"/>
        <w:ind w:firstLine="567"/>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2.最高限价：</w:t>
      </w:r>
      <w:r>
        <w:rPr>
          <w:rFonts w:hint="eastAsia" w:ascii="方正仿宋_GBK" w:hAnsi="方正仿宋_GBK" w:eastAsia="方正仿宋_GBK" w:cs="方正仿宋_GBK"/>
          <w:color w:val="auto"/>
          <w:sz w:val="24"/>
          <w:szCs w:val="24"/>
          <w:lang w:eastAsia="zh-CN"/>
        </w:rPr>
        <w:t>49万元</w:t>
      </w:r>
    </w:p>
    <w:p w14:paraId="33026CFE">
      <w:pPr>
        <w:pStyle w:val="5"/>
        <w:spacing w:line="500" w:lineRule="exact"/>
        <w:ind w:firstLine="567"/>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3.合同履行期限：</w:t>
      </w:r>
      <w:r>
        <w:rPr>
          <w:rFonts w:hint="eastAsia" w:ascii="方正仿宋_GBK" w:hAnsi="方正仿宋_GBK" w:eastAsia="方正仿宋_GBK" w:cs="方正仿宋_GBK"/>
          <w:color w:val="auto"/>
          <w:sz w:val="24"/>
          <w:szCs w:val="24"/>
          <w:lang w:eastAsia="zh-CN"/>
        </w:rPr>
        <w:t>自合同签订之日起至202</w:t>
      </w:r>
      <w:r>
        <w:rPr>
          <w:rFonts w:hint="eastAsia" w:ascii="方正仿宋_GBK" w:hAnsi="方正仿宋_GBK" w:eastAsia="方正仿宋_GBK" w:cs="方正仿宋_GBK"/>
          <w:color w:val="auto"/>
          <w:sz w:val="24"/>
          <w:szCs w:val="24"/>
          <w:lang w:val="en-US" w:eastAsia="zh-CN"/>
        </w:rPr>
        <w:t>7</w:t>
      </w:r>
      <w:r>
        <w:rPr>
          <w:rFonts w:hint="eastAsia" w:ascii="方正仿宋_GBK" w:hAnsi="方正仿宋_GBK" w:eastAsia="方正仿宋_GBK" w:cs="方正仿宋_GBK"/>
          <w:color w:val="auto"/>
          <w:sz w:val="24"/>
          <w:szCs w:val="24"/>
          <w:lang w:eastAsia="zh-CN"/>
        </w:rPr>
        <w:t>年12月底止。</w:t>
      </w:r>
    </w:p>
    <w:p w14:paraId="26C0EDA8">
      <w:pPr>
        <w:pStyle w:val="5"/>
        <w:numPr>
          <w:ilvl w:val="0"/>
          <w:numId w:val="0"/>
        </w:numPr>
        <w:spacing w:line="500" w:lineRule="exact"/>
        <w:ind w:firstLine="567" w:firstLineChar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4.</w:t>
      </w:r>
      <w:r>
        <w:rPr>
          <w:rFonts w:hint="eastAsia" w:ascii="方正仿宋_GBK" w:hAnsi="方正仿宋_GBK" w:eastAsia="方正仿宋_GBK" w:cs="方正仿宋_GBK"/>
          <w:color w:val="auto"/>
          <w:sz w:val="24"/>
          <w:szCs w:val="24"/>
        </w:rPr>
        <w:t>服务地点：</w:t>
      </w:r>
      <w:r>
        <w:rPr>
          <w:rFonts w:hint="eastAsia" w:ascii="方正仿宋_GBK" w:hAnsi="方正仿宋_GBK" w:eastAsia="方正仿宋_GBK" w:cs="方正仿宋_GBK"/>
          <w:color w:val="auto"/>
          <w:sz w:val="24"/>
          <w:szCs w:val="24"/>
          <w:lang w:eastAsia="zh-CN"/>
        </w:rPr>
        <w:t>宿迁市域内典型森林类型分布区</w:t>
      </w:r>
    </w:p>
    <w:p w14:paraId="29758CEA">
      <w:pPr>
        <w:pStyle w:val="5"/>
        <w:numPr>
          <w:ilvl w:val="0"/>
          <w:numId w:val="0"/>
        </w:numPr>
        <w:spacing w:line="500" w:lineRule="exact"/>
        <w:ind w:firstLine="567" w:firstLineChars="0"/>
        <w:rPr>
          <w:rFonts w:hint="default"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5.质量要求：合格</w:t>
      </w:r>
    </w:p>
    <w:p w14:paraId="0AC3A593">
      <w:pPr>
        <w:pStyle w:val="5"/>
        <w:spacing w:line="500" w:lineRule="exact"/>
        <w:ind w:firstLine="567"/>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.付款方式：</w:t>
      </w:r>
    </w:p>
    <w:p w14:paraId="0FF83503">
      <w:pPr>
        <w:pStyle w:val="5"/>
        <w:spacing w:line="500" w:lineRule="exact"/>
        <w:ind w:firstLine="567"/>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预付款：</w:t>
      </w:r>
      <w:r>
        <w:rPr>
          <w:rFonts w:hint="eastAsia" w:ascii="方正仿宋_GBK" w:hAnsi="方正仿宋_GBK" w:eastAsia="方正仿宋_GBK" w:cs="方正仿宋_GBK"/>
          <w:color w:val="auto"/>
          <w:sz w:val="24"/>
          <w:szCs w:val="24"/>
          <w:lang w:eastAsia="zh-CN"/>
        </w:rPr>
        <w:t>合同金额的 25 %</w:t>
      </w:r>
      <w:r>
        <w:rPr>
          <w:rFonts w:hint="eastAsia" w:ascii="方正仿宋_GBK" w:hAnsi="方正仿宋_GBK" w:eastAsia="方正仿宋_GBK" w:cs="方正仿宋_GBK"/>
          <w:color w:val="auto"/>
          <w:sz w:val="24"/>
          <w:szCs w:val="24"/>
        </w:rPr>
        <w:t>，合同签订后按规定支付；</w:t>
      </w:r>
    </w:p>
    <w:p w14:paraId="630A41FD">
      <w:pPr>
        <w:pStyle w:val="5"/>
        <w:spacing w:line="500" w:lineRule="exact"/>
        <w:ind w:firstLine="567"/>
        <w:rPr>
          <w:rFonts w:hint="eastAsia" w:ascii="方正仿宋_GBK" w:hAnsi="方正仿宋_GBK" w:eastAsia="方正仿宋_GBK" w:cs="方正仿宋_GBK"/>
          <w:bCs/>
          <w:color w:val="auto"/>
          <w:sz w:val="24"/>
          <w:szCs w:val="21"/>
        </w:rPr>
      </w:pPr>
      <w:r>
        <w:rPr>
          <w:rFonts w:hint="eastAsia" w:ascii="方正仿宋_GBK" w:hAnsi="方正仿宋_GBK" w:eastAsia="方正仿宋_GBK" w:cs="方正仿宋_GBK"/>
          <w:bCs/>
          <w:color w:val="auto"/>
          <w:sz w:val="24"/>
          <w:szCs w:val="21"/>
        </w:rPr>
        <w:t>进度款：</w:t>
      </w:r>
      <w:r>
        <w:rPr>
          <w:rFonts w:hint="eastAsia" w:ascii="方正仿宋_GBK" w:hAnsi="方正仿宋_GBK" w:eastAsia="方正仿宋_GBK" w:cs="方正仿宋_GBK"/>
          <w:bCs/>
          <w:color w:val="auto"/>
          <w:sz w:val="24"/>
          <w:szCs w:val="21"/>
          <w:lang w:eastAsia="zh-CN"/>
        </w:rPr>
        <w:t>提交《</w:t>
      </w:r>
      <w:r>
        <w:rPr>
          <w:rFonts w:hint="eastAsia" w:ascii="方正仿宋_GBK" w:hAnsi="方正仿宋_GBK" w:eastAsia="方正仿宋_GBK" w:cs="方正仿宋_GBK"/>
          <w:bCs/>
          <w:color w:val="auto"/>
          <w:sz w:val="24"/>
          <w:szCs w:val="21"/>
          <w:lang w:val="en-US" w:eastAsia="zh-CN"/>
        </w:rPr>
        <w:t>项目实施方案</w:t>
      </w:r>
      <w:r>
        <w:rPr>
          <w:rFonts w:hint="eastAsia" w:ascii="方正仿宋_GBK" w:hAnsi="方正仿宋_GBK" w:eastAsia="方正仿宋_GBK" w:cs="方正仿宋_GBK"/>
          <w:bCs/>
          <w:color w:val="auto"/>
          <w:sz w:val="24"/>
          <w:szCs w:val="21"/>
          <w:lang w:eastAsia="zh-CN"/>
        </w:rPr>
        <w:t>》《典型森林碳汇监测点建设报告》后支付合同价款的3</w:t>
      </w:r>
      <w:r>
        <w:rPr>
          <w:rFonts w:hint="eastAsia" w:ascii="方正仿宋_GBK" w:hAnsi="方正仿宋_GBK" w:eastAsia="方正仿宋_GBK" w:cs="方正仿宋_GBK"/>
          <w:bCs/>
          <w:color w:val="auto"/>
          <w:sz w:val="24"/>
          <w:szCs w:val="21"/>
          <w:lang w:val="en-US" w:eastAsia="zh-CN"/>
        </w:rPr>
        <w:t>5</w:t>
      </w:r>
      <w:r>
        <w:rPr>
          <w:rFonts w:hint="eastAsia" w:ascii="方正仿宋_GBK" w:hAnsi="方正仿宋_GBK" w:eastAsia="方正仿宋_GBK" w:cs="方正仿宋_GBK"/>
          <w:bCs/>
          <w:color w:val="auto"/>
          <w:sz w:val="24"/>
          <w:szCs w:val="21"/>
          <w:lang w:eastAsia="zh-CN"/>
        </w:rPr>
        <w:t>%；提交</w:t>
      </w:r>
      <w:r>
        <w:rPr>
          <w:rFonts w:hint="eastAsia" w:ascii="方正仿宋_GBK" w:hAnsi="方正仿宋_GBK" w:eastAsia="方正仿宋_GBK" w:cs="方正仿宋_GBK"/>
          <w:bCs/>
          <w:color w:val="auto"/>
          <w:sz w:val="24"/>
          <w:szCs w:val="21"/>
          <w:lang w:val="en-US" w:eastAsia="zh-CN"/>
        </w:rPr>
        <w:t>2026年度《典型森林植被碳汇计量报告》</w:t>
      </w:r>
      <w:r>
        <w:rPr>
          <w:rFonts w:hint="eastAsia" w:ascii="方正仿宋_GBK" w:hAnsi="方正仿宋_GBK" w:eastAsia="方正仿宋_GBK" w:cs="方正仿宋_GBK"/>
          <w:bCs/>
          <w:color w:val="auto"/>
          <w:sz w:val="24"/>
          <w:szCs w:val="21"/>
          <w:lang w:eastAsia="zh-CN"/>
        </w:rPr>
        <w:t>支付合同价款的3</w:t>
      </w:r>
      <w:r>
        <w:rPr>
          <w:rFonts w:hint="eastAsia" w:ascii="方正仿宋_GBK" w:hAnsi="方正仿宋_GBK" w:eastAsia="方正仿宋_GBK" w:cs="方正仿宋_GBK"/>
          <w:bCs/>
          <w:color w:val="auto"/>
          <w:sz w:val="24"/>
          <w:szCs w:val="21"/>
          <w:lang w:val="en-US" w:eastAsia="zh-CN"/>
        </w:rPr>
        <w:t>0</w:t>
      </w:r>
      <w:r>
        <w:rPr>
          <w:rFonts w:hint="eastAsia" w:ascii="方正仿宋_GBK" w:hAnsi="方正仿宋_GBK" w:eastAsia="方正仿宋_GBK" w:cs="方正仿宋_GBK"/>
          <w:bCs/>
          <w:color w:val="auto"/>
          <w:sz w:val="24"/>
          <w:szCs w:val="21"/>
          <w:lang w:eastAsia="zh-CN"/>
        </w:rPr>
        <w:t>%；提交</w:t>
      </w:r>
      <w:r>
        <w:rPr>
          <w:rFonts w:hint="eastAsia" w:ascii="方正仿宋_GBK" w:hAnsi="方正仿宋_GBK" w:eastAsia="方正仿宋_GBK" w:cs="方正仿宋_GBK"/>
          <w:bCs/>
          <w:color w:val="auto"/>
          <w:sz w:val="24"/>
          <w:szCs w:val="21"/>
          <w:lang w:val="en-US" w:eastAsia="zh-CN"/>
        </w:rPr>
        <w:t>2027年度的两个《典型森林植被碳汇计量报告》并</w:t>
      </w:r>
      <w:r>
        <w:rPr>
          <w:rFonts w:hint="eastAsia" w:ascii="方正仿宋_GBK" w:hAnsi="方正仿宋_GBK" w:eastAsia="方正仿宋_GBK" w:cs="方正仿宋_GBK"/>
          <w:bCs/>
          <w:color w:val="auto"/>
          <w:sz w:val="24"/>
          <w:szCs w:val="21"/>
          <w:lang w:eastAsia="zh-CN"/>
        </w:rPr>
        <w:t>通过专家论证</w:t>
      </w:r>
      <w:r>
        <w:rPr>
          <w:rFonts w:hint="eastAsia" w:ascii="方正仿宋_GBK" w:hAnsi="方正仿宋_GBK" w:eastAsia="方正仿宋_GBK" w:cs="方正仿宋_GBK"/>
          <w:bCs/>
          <w:color w:val="auto"/>
          <w:sz w:val="24"/>
          <w:szCs w:val="21"/>
          <w:lang w:val="en-US" w:eastAsia="zh-CN"/>
        </w:rPr>
        <w:t>以及经采购人</w:t>
      </w:r>
      <w:r>
        <w:rPr>
          <w:rFonts w:hint="eastAsia" w:ascii="方正仿宋_GBK" w:hAnsi="方正仿宋_GBK" w:eastAsia="方正仿宋_GBK" w:cs="方正仿宋_GBK"/>
          <w:bCs/>
          <w:color w:val="auto"/>
          <w:sz w:val="24"/>
          <w:szCs w:val="21"/>
          <w:lang w:eastAsia="zh-CN"/>
        </w:rPr>
        <w:t>验收后一次性付清余款（无息）</w:t>
      </w:r>
      <w:r>
        <w:rPr>
          <w:rFonts w:hint="eastAsia" w:ascii="方正仿宋_GBK" w:hAnsi="方正仿宋_GBK" w:eastAsia="方正仿宋_GBK" w:cs="方正仿宋_GBK"/>
          <w:bCs/>
          <w:color w:val="auto"/>
          <w:sz w:val="24"/>
          <w:szCs w:val="21"/>
        </w:rPr>
        <w:t>。</w:t>
      </w:r>
    </w:p>
    <w:p w14:paraId="64D10717">
      <w:pPr>
        <w:pStyle w:val="5"/>
        <w:spacing w:line="500" w:lineRule="exact"/>
        <w:ind w:firstLine="567"/>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注：在签订合同时，成交</w:t>
      </w:r>
      <w:r>
        <w:rPr>
          <w:rFonts w:hint="eastAsia" w:ascii="方正仿宋_GBK" w:hAnsi="方正仿宋_GBK" w:eastAsia="方正仿宋_GBK" w:cs="方正仿宋_GBK"/>
          <w:color w:val="auto"/>
          <w:sz w:val="24"/>
          <w:szCs w:val="24"/>
          <w:lang w:val="en-US" w:eastAsia="zh-CN"/>
        </w:rPr>
        <w:t>供应商</w:t>
      </w:r>
      <w:r>
        <w:rPr>
          <w:rFonts w:hint="eastAsia" w:ascii="方正仿宋_GBK" w:hAnsi="方正仿宋_GBK" w:eastAsia="方正仿宋_GBK" w:cs="方正仿宋_GBK"/>
          <w:color w:val="auto"/>
          <w:sz w:val="24"/>
          <w:szCs w:val="24"/>
        </w:rPr>
        <w:t>明确表示无需预付款或者主动要求降低预付款比例的金额，采购人可不适用预付款规定。</w:t>
      </w:r>
    </w:p>
    <w:p w14:paraId="6D0162D5">
      <w:pPr>
        <w:pStyle w:val="5"/>
        <w:spacing w:before="72" w:beforeLines="25" w:after="72" w:afterLines="25" w:line="500" w:lineRule="exact"/>
        <w:ind w:firstLine="567"/>
        <w:outlineLvl w:val="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二、项目概况</w:t>
      </w:r>
    </w:p>
    <w:p w14:paraId="6891A7C7">
      <w:pPr>
        <w:spacing w:line="500" w:lineRule="exact"/>
        <w:ind w:firstLine="567"/>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在全球气候变化与我国“碳达峰、碳中和”重大战略目标的双重背景下，提升生态系统碳汇能力已成为应对气候变化的核心路径之一。森林作为重要的碳汇资源，其碳汇能力的精准量化与高效提升是实现“双碳”目标的关键环节。宿迁市生态资源丰富，林业在发展低碳经济、促进绿色发展方面潜力巨大，尤其是</w:t>
      </w:r>
      <w:r>
        <w:rPr>
          <w:rFonts w:hint="eastAsia" w:ascii="方正仿宋_GBK" w:hAnsi="方正仿宋_GBK" w:eastAsia="方正仿宋_GBK" w:cs="方正仿宋_GBK"/>
          <w:color w:val="auto"/>
          <w:sz w:val="24"/>
          <w:lang w:eastAsia="zh-CN"/>
        </w:rPr>
        <w:t>宿迁市</w:t>
      </w:r>
      <w:r>
        <w:rPr>
          <w:rFonts w:hint="eastAsia" w:ascii="方正仿宋_GBK" w:hAnsi="方正仿宋_GBK" w:eastAsia="方正仿宋_GBK" w:cs="方正仿宋_GBK"/>
          <w:color w:val="auto"/>
          <w:sz w:val="24"/>
        </w:rPr>
        <w:t>森林面积大、类型典型，具备重要的研究与示范价值。</w:t>
      </w:r>
    </w:p>
    <w:p w14:paraId="69099C1C">
      <w:pPr>
        <w:spacing w:line="500" w:lineRule="exact"/>
        <w:ind w:firstLine="567"/>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本项目旨在响应国家战略与地方发展需求，计划在</w:t>
      </w:r>
      <w:r>
        <w:rPr>
          <w:rFonts w:hint="eastAsia" w:ascii="方正仿宋_GBK" w:hAnsi="方正仿宋_GBK" w:eastAsia="方正仿宋_GBK" w:cs="方正仿宋_GBK"/>
          <w:color w:val="auto"/>
          <w:sz w:val="24"/>
          <w:lang w:eastAsia="zh-CN"/>
        </w:rPr>
        <w:t>宿迁市</w:t>
      </w:r>
      <w:r>
        <w:rPr>
          <w:rFonts w:hint="eastAsia" w:ascii="方正仿宋_GBK" w:hAnsi="方正仿宋_GBK" w:eastAsia="方正仿宋_GBK" w:cs="方正仿宋_GBK"/>
          <w:color w:val="auto"/>
          <w:sz w:val="24"/>
        </w:rPr>
        <w:t>典型林分分布区构建森林碳汇监测站点体系。项目将综合运用物联网、传感器、大数据等先进技术，建设覆盖多要素的碳汇监测点，实现对森林碳汇过程的实时、连续、精准观测。通过系统估算区域森林碳储量与土壤碳库动态现状，科学评估其当前碳汇能力与未来增汇潜力，为宿迁市森林碳汇能力建设提供坚实的数据支撑和科学依据，推动林业生态产品价值实现机制的落地。</w:t>
      </w:r>
    </w:p>
    <w:p w14:paraId="5270E784">
      <w:pPr>
        <w:pStyle w:val="5"/>
        <w:spacing w:before="72" w:beforeLines="25" w:after="72" w:afterLines="25" w:line="500" w:lineRule="exact"/>
        <w:ind w:firstLine="567"/>
        <w:outlineLvl w:val="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三、服务内容及要求</w:t>
      </w:r>
    </w:p>
    <w:p w14:paraId="4353059D">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1.编制《项目实施方案》，内容包括但不限于项目概况、实施计划、技术方案、资金与成本管理、绩效评估、林业固碳增汇相关工作思路、碳汇计量监测、成果应用路径及业务培训等内容。</w:t>
      </w:r>
    </w:p>
    <w:p w14:paraId="46412132">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2.监测点建设与数据采集：在选定的典型林分内建设至少3个固定监测点，系统集成多用途传感设备实现对环境因子（空气、土壤等）、主要温室气体通量、植物物候动态及森林生长量等关键要素的连续、自动化采集与传输，实现林业碳汇实时监测目标。</w:t>
      </w:r>
    </w:p>
    <w:p w14:paraId="0F60BD60">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3.碳汇核算：通过系统估算区域森林碳储量与土壤碳库动态现状，科学评估监测对象的碳汇能力与未来增汇潜力，对选定的森林类型分布区域碳汇量开展科学核算，分别于2026年12月、2027年6月和2027年12月形成三个《典型森林植被碳汇计量报告》。</w:t>
      </w:r>
    </w:p>
    <w:p w14:paraId="49FD8232">
      <w:pPr>
        <w:pStyle w:val="5"/>
        <w:spacing w:before="72" w:beforeLines="25" w:after="72" w:afterLines="25" w:line="500" w:lineRule="exact"/>
        <w:ind w:firstLine="567"/>
        <w:outlineLvl w:val="2"/>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highlight w:val="none"/>
          <w:lang w:val="en-US" w:eastAsia="zh-CN"/>
        </w:rPr>
        <w:t>四</w:t>
      </w:r>
      <w:r>
        <w:rPr>
          <w:rFonts w:hint="eastAsia" w:ascii="方正仿宋_GBK" w:hAnsi="方正仿宋_GBK" w:eastAsia="方正仿宋_GBK" w:cs="方正仿宋_GBK"/>
          <w:b/>
          <w:bCs/>
          <w:color w:val="auto"/>
          <w:sz w:val="28"/>
          <w:szCs w:val="28"/>
          <w:highlight w:val="none"/>
        </w:rPr>
        <w:t>、</w:t>
      </w:r>
      <w:r>
        <w:rPr>
          <w:rFonts w:hint="eastAsia" w:ascii="方正仿宋_GBK" w:hAnsi="方正仿宋_GBK" w:eastAsia="方正仿宋_GBK" w:cs="方正仿宋_GBK"/>
          <w:b/>
          <w:bCs/>
          <w:color w:val="auto"/>
          <w:sz w:val="28"/>
          <w:szCs w:val="28"/>
          <w:lang w:val="en-US" w:eastAsia="zh-CN"/>
        </w:rPr>
        <w:t>质量标准</w:t>
      </w:r>
    </w:p>
    <w:p w14:paraId="7B23DE97">
      <w:pPr>
        <w:pStyle w:val="5"/>
        <w:spacing w:before="72" w:beforeLines="25" w:after="72" w:afterLines="25" w:line="500" w:lineRule="exact"/>
        <w:ind w:firstLine="567"/>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成交供应商对提交的成果信息的质量严格把关。提交的最终成果必须符合国家、行业、主管部门的相关标准和规范（在服务过程中，如果国家或有关部门颁布了新的技术标准或规范，则成交供应商应采用新的标准或规范开展工作）。</w:t>
      </w:r>
    </w:p>
    <w:p w14:paraId="597684E2">
      <w:pPr>
        <w:pStyle w:val="6"/>
        <w:adjustRightInd w:val="0"/>
        <w:snapToGrid w:val="0"/>
        <w:spacing w:line="500" w:lineRule="exact"/>
        <w:ind w:firstLine="567"/>
        <w:jc w:val="left"/>
        <w:outlineLvl w:val="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五</w:t>
      </w:r>
      <w:r>
        <w:rPr>
          <w:rFonts w:hint="eastAsia" w:ascii="方正仿宋_GBK" w:hAnsi="方正仿宋_GBK" w:eastAsia="方正仿宋_GBK" w:cs="方正仿宋_GBK"/>
          <w:b/>
          <w:bCs/>
          <w:color w:val="auto"/>
          <w:sz w:val="28"/>
          <w:szCs w:val="28"/>
        </w:rPr>
        <w:t>、成果要求</w:t>
      </w:r>
    </w:p>
    <w:p w14:paraId="60F1CA6B">
      <w:pPr>
        <w:pStyle w:val="5"/>
        <w:spacing w:before="72" w:beforeLines="25" w:after="72" w:afterLines="25" w:line="500" w:lineRule="exact"/>
        <w:ind w:firstLine="567"/>
        <w:rPr>
          <w:rFonts w:hint="eastAsia" w:ascii="方正仿宋_GBK" w:hAnsi="方正仿宋_GBK" w:eastAsia="方正仿宋_GBK" w:cs="方正仿宋_GBK"/>
          <w:color w:val="auto"/>
          <w:sz w:val="24"/>
          <w:highlight w:val="yellow"/>
          <w:lang w:eastAsia="zh-CN"/>
        </w:rPr>
      </w:pPr>
      <w:r>
        <w:rPr>
          <w:rFonts w:hint="eastAsia" w:ascii="方正仿宋_GBK" w:hAnsi="方正仿宋_GBK" w:eastAsia="方正仿宋_GBK" w:cs="方正仿宋_GBK"/>
          <w:color w:val="auto"/>
          <w:sz w:val="24"/>
        </w:rPr>
        <w:t>1.完成至少3个固定监测点建设</w:t>
      </w:r>
      <w:r>
        <w:rPr>
          <w:rFonts w:hint="eastAsia" w:ascii="方正仿宋_GBK" w:hAnsi="方正仿宋_GBK" w:eastAsia="方正仿宋_GBK" w:cs="方正仿宋_GBK"/>
          <w:color w:val="auto"/>
          <w:sz w:val="24"/>
          <w:lang w:eastAsia="zh-CN"/>
        </w:rPr>
        <w:t>；</w:t>
      </w:r>
    </w:p>
    <w:p w14:paraId="596D424F">
      <w:pPr>
        <w:pStyle w:val="5"/>
        <w:spacing w:before="72" w:beforeLines="25" w:after="72" w:afterLines="25" w:line="500" w:lineRule="exact"/>
        <w:ind w:firstLine="567"/>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2.形成</w:t>
      </w:r>
      <w:r>
        <w:rPr>
          <w:rFonts w:hint="eastAsia" w:ascii="方正仿宋_GBK" w:hAnsi="方正仿宋_GBK" w:eastAsia="方正仿宋_GBK" w:cs="方正仿宋_GBK"/>
          <w:bCs/>
          <w:color w:val="auto"/>
          <w:sz w:val="24"/>
          <w:szCs w:val="21"/>
          <w:lang w:eastAsia="zh-CN"/>
        </w:rPr>
        <w:t>《</w:t>
      </w:r>
      <w:r>
        <w:rPr>
          <w:rFonts w:hint="eastAsia" w:ascii="方正仿宋_GBK" w:hAnsi="方正仿宋_GBK" w:eastAsia="方正仿宋_GBK" w:cs="方正仿宋_GBK"/>
          <w:bCs/>
          <w:color w:val="auto"/>
          <w:sz w:val="24"/>
          <w:szCs w:val="21"/>
          <w:lang w:val="en-US" w:eastAsia="zh-CN"/>
        </w:rPr>
        <w:t>项目实施方案</w:t>
      </w:r>
      <w:r>
        <w:rPr>
          <w:rFonts w:hint="eastAsia" w:ascii="方正仿宋_GBK" w:hAnsi="方正仿宋_GBK" w:eastAsia="方正仿宋_GBK" w:cs="方正仿宋_GBK"/>
          <w:bCs/>
          <w:color w:val="auto"/>
          <w:sz w:val="24"/>
          <w:szCs w:val="21"/>
          <w:lang w:eastAsia="zh-CN"/>
        </w:rPr>
        <w:t>》</w:t>
      </w:r>
      <w:r>
        <w:rPr>
          <w:rFonts w:hint="eastAsia" w:ascii="方正仿宋_GBK" w:hAnsi="方正仿宋_GBK" w:eastAsia="方正仿宋_GBK" w:cs="方正仿宋_GBK"/>
          <w:color w:val="auto"/>
          <w:sz w:val="24"/>
        </w:rPr>
        <w:t>《典型森林碳汇监测点建设报告》；</w:t>
      </w:r>
    </w:p>
    <w:p w14:paraId="11619C11">
      <w:pPr>
        <w:pStyle w:val="5"/>
        <w:spacing w:before="72" w:beforeLines="25" w:after="72" w:afterLines="25" w:line="500" w:lineRule="exact"/>
        <w:ind w:firstLine="567"/>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3.形成</w:t>
      </w:r>
      <w:r>
        <w:rPr>
          <w:rFonts w:hint="eastAsia" w:ascii="方正仿宋_GBK" w:hAnsi="方正仿宋_GBK" w:eastAsia="方正仿宋_GBK" w:cs="方正仿宋_GBK"/>
          <w:color w:val="auto"/>
          <w:sz w:val="24"/>
          <w:lang w:val="en-US" w:eastAsia="zh-CN"/>
        </w:rPr>
        <w:t>三个</w:t>
      </w:r>
      <w:r>
        <w:rPr>
          <w:rFonts w:hint="eastAsia" w:ascii="方正仿宋_GBK" w:hAnsi="方正仿宋_GBK" w:eastAsia="方正仿宋_GBK" w:cs="方正仿宋_GBK"/>
          <w:color w:val="auto"/>
          <w:sz w:val="24"/>
          <w:lang w:eastAsia="zh-CN"/>
        </w:rPr>
        <w:t>《典型森林植被碳汇计量报告》</w:t>
      </w:r>
      <w:r>
        <w:rPr>
          <w:rFonts w:hint="eastAsia" w:ascii="方正仿宋_GBK" w:hAnsi="方正仿宋_GBK" w:eastAsia="方正仿宋_GBK" w:cs="方正仿宋_GBK"/>
          <w:color w:val="auto"/>
          <w:sz w:val="24"/>
        </w:rPr>
        <w:t>。</w:t>
      </w:r>
    </w:p>
    <w:p w14:paraId="6EECBA94">
      <w:pPr>
        <w:pStyle w:val="5"/>
        <w:spacing w:line="500" w:lineRule="exact"/>
        <w:ind w:firstLine="567"/>
        <w:jc w:val="left"/>
        <w:outlineLvl w:val="2"/>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六</w:t>
      </w:r>
      <w:r>
        <w:rPr>
          <w:rFonts w:hint="eastAsia" w:ascii="方正仿宋_GBK" w:hAnsi="方正仿宋_GBK" w:eastAsia="方正仿宋_GBK" w:cs="方正仿宋_GBK"/>
          <w:b/>
          <w:bCs/>
          <w:color w:val="auto"/>
          <w:sz w:val="28"/>
          <w:szCs w:val="28"/>
        </w:rPr>
        <w:t>、验收程序及要求</w:t>
      </w:r>
    </w:p>
    <w:p w14:paraId="2C46D7D0">
      <w:pPr>
        <w:pStyle w:val="5"/>
        <w:spacing w:before="72" w:beforeLines="25" w:after="72" w:afterLines="25" w:line="500" w:lineRule="exact"/>
        <w:ind w:firstLine="567"/>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在满足基本要求的前提下，发挥自身优势，使方案成果既要符合国家的相关技术规定，又要切合实际，突出科学性、可行性和可操作性，并确保通过专家论证。符合宿迁市自然资源和规划局有关要求，并顺利通过采购人验收合格。</w:t>
      </w:r>
    </w:p>
    <w:p w14:paraId="2FE1A361">
      <w:pPr>
        <w:pStyle w:val="5"/>
        <w:spacing w:line="500" w:lineRule="exact"/>
        <w:ind w:firstLine="567"/>
        <w:jc w:val="left"/>
        <w:outlineLvl w:val="2"/>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七、安全与保密</w:t>
      </w:r>
    </w:p>
    <w:p w14:paraId="782E0536">
      <w:pPr>
        <w:pStyle w:val="5"/>
        <w:spacing w:before="72" w:beforeLines="25" w:after="72" w:afterLines="25" w:line="500" w:lineRule="exact"/>
        <w:ind w:firstLine="567"/>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本项目所产生的一切数据、资料等均需严格保密，供应商应严格执行保密的相关规定，不得以任何方式向除采购人外的任何第三方提供任何与本项目有关的所有信息。如违反保密规定，采购人有权追究供应商的相关法律责任。</w:t>
      </w:r>
    </w:p>
    <w:p w14:paraId="40D427DC">
      <w:pPr>
        <w:pStyle w:val="6"/>
        <w:adjustRightInd w:val="0"/>
        <w:snapToGrid w:val="0"/>
        <w:spacing w:line="500" w:lineRule="exact"/>
        <w:ind w:firstLine="567"/>
        <w:jc w:val="left"/>
        <w:outlineLvl w:val="2"/>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bCs/>
          <w:color w:val="auto"/>
          <w:sz w:val="28"/>
          <w:szCs w:val="28"/>
          <w:lang w:val="en-US" w:eastAsia="zh-CN"/>
        </w:rPr>
        <w:t>八</w:t>
      </w:r>
      <w:r>
        <w:rPr>
          <w:rFonts w:hint="eastAsia" w:ascii="方正仿宋_GBK" w:hAnsi="方正仿宋_GBK" w:eastAsia="方正仿宋_GBK" w:cs="方正仿宋_GBK"/>
          <w:b/>
          <w:bCs/>
          <w:color w:val="auto"/>
          <w:sz w:val="28"/>
          <w:szCs w:val="28"/>
        </w:rPr>
        <w:t>、</w:t>
      </w:r>
      <w:r>
        <w:rPr>
          <w:rFonts w:hint="eastAsia" w:ascii="方正仿宋_GBK" w:hAnsi="方正仿宋_GBK" w:eastAsia="方正仿宋_GBK" w:cs="方正仿宋_GBK"/>
          <w:b/>
          <w:color w:val="auto"/>
          <w:kern w:val="0"/>
          <w:sz w:val="24"/>
          <w:szCs w:val="24"/>
        </w:rPr>
        <w:t>其他要求</w:t>
      </w:r>
    </w:p>
    <w:p w14:paraId="3D3A8D7B">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1.本项目实施过程中需使用的所有设备设施均由供应商自行提供，所需全部费用包含在报价内，供应商应对工作过程中需使用的设备设施有充分的准备，对本项目的基本情况及工作量予以充分考虑，成交后不能以任何理由拖延项目工期、降低项目质量或提出增加经费等不合理要求，必须按采购文件的要求完成全部工作。</w:t>
      </w:r>
    </w:p>
    <w:p w14:paraId="58529BB0">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2</w:t>
      </w:r>
      <w:r>
        <w:rPr>
          <w:rFonts w:hint="eastAsia" w:ascii="方正仿宋_GBK" w:hAnsi="方正仿宋_GBK" w:eastAsia="方正仿宋_GBK" w:cs="方正仿宋_GBK"/>
          <w:color w:val="auto"/>
          <w:kern w:val="2"/>
          <w:sz w:val="24"/>
          <w:szCs w:val="22"/>
          <w:highlight w:val="none"/>
          <w:lang w:val="en-US" w:eastAsia="zh-CN" w:bidi="ar-SA"/>
        </w:rPr>
        <w:t>.</w:t>
      </w:r>
      <w:r>
        <w:rPr>
          <w:rFonts w:hint="eastAsia" w:ascii="方正仿宋_GBK" w:hAnsi="方正仿宋_GBK" w:eastAsia="方正仿宋_GBK" w:cs="方正仿宋_GBK"/>
          <w:color w:val="auto"/>
          <w:kern w:val="2"/>
          <w:sz w:val="24"/>
          <w:szCs w:val="22"/>
          <w:lang w:val="en-US" w:eastAsia="zh-CN" w:bidi="ar-SA"/>
        </w:rPr>
        <w:t>为规范和促进本项目的正常实施和推进，需有序高效、安全稳定、常态化运行，供应商要有明晰的组织机构，成立独立的项目组，项目实施人员齐全，配备经验丰富的专职项目负责人、核心技术团队及技术支持团队，岗位职责明确，能高标准地实施项目管理，确保项目顺利完成。未经采购人同意，不得更换项目组成员。</w:t>
      </w:r>
    </w:p>
    <w:p w14:paraId="6E196DDC">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3.供应商在成交后应在规定的时间内，按质按量完成全部工作，所需的全部费用都包含在报价中。</w:t>
      </w:r>
    </w:p>
    <w:p w14:paraId="0F0DFBBF">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4.在项目实施期间，成交供应商应遵守项目现场及采购人的各项规章制度。无条件的接受采购人的监督管理，对提出的问题要及时整改，整改完毕后通知采购人检查，合格后书面报送采购人备案。否则，采购人可以进行处罚。</w:t>
      </w:r>
    </w:p>
    <w:p w14:paraId="7E40B8A6">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5.供应商应当按照国家有关规定，妥善保管好所有工作底稿及相关材料，并做好归档管理工作，以备查用。</w:t>
      </w:r>
    </w:p>
    <w:p w14:paraId="3E7A45BF">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6.供应商必须开展安全作业，应保尽保。如果发生交通、作业质量缺陷或安全措施不全等造成财产损失和人员伤亡等事故的，其责任概由供应商承担，采购人不承担任何责任。</w:t>
      </w:r>
    </w:p>
    <w:p w14:paraId="2E1B7727">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7.供应商必须对所提供服务等知识产权、第三方专利权、商标权、设计权、版权等方面的一切产权关系负全部责任，由此而引起的法律纠纷以及费用，由供应商全部承担。</w:t>
      </w:r>
    </w:p>
    <w:p w14:paraId="46E73615">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8.供应商必须按照国家规定的方法进行相关工作，并对提交成果负责。在服务过程中如遇到国家相关标准、行业标准、地方标准或者其他标准、规范发生修改、变化的，以最新要求为准。</w:t>
      </w:r>
    </w:p>
    <w:p w14:paraId="623CB18B">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9.供应商遵守职业道德和工作纪律规定。</w:t>
      </w:r>
    </w:p>
    <w:p w14:paraId="079C96DD">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10.采购人有权随时召集成交供应商相关人员就项目相关事宜进行工作汇报或开会讨论。</w:t>
      </w:r>
    </w:p>
    <w:p w14:paraId="5D7AA7C7">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11.相关部门对上报的成果在核查等过程中发现问题的，成交供应商需对疑问部分再次进行详细核查及修改直至成果通过采购人和相关部门核查。</w:t>
      </w:r>
    </w:p>
    <w:p w14:paraId="21DF49FD">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12.根据上级部门要求完成与本项目相关的其他任务。</w:t>
      </w:r>
    </w:p>
    <w:p w14:paraId="613101CF">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13.采购人协助成交供应商提供相关基础资料，如基础资料不全，由成交供应商自行补充调查完善。</w:t>
      </w:r>
    </w:p>
    <w:p w14:paraId="2AD09244">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14.未尽事宜按有关规定执行。</w:t>
      </w:r>
    </w:p>
    <w:p w14:paraId="0850EAFD">
      <w:pPr>
        <w:pStyle w:val="5"/>
        <w:spacing w:before="72" w:beforeLines="25" w:after="72" w:afterLines="25" w:line="500" w:lineRule="exact"/>
        <w:ind w:firstLine="567"/>
        <w:rPr>
          <w:rFonts w:hint="default"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九、其他方案要求</w:t>
      </w:r>
    </w:p>
    <w:p w14:paraId="36F5C919">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1.项目理解与分析</w:t>
      </w:r>
    </w:p>
    <w:p w14:paraId="1EA49041">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本项目需通过科学的方法和技术手段，对森林生态系统中的碳储量及其变化进行系统测量、计算和跟踪监测的专业性工作。实施需要综合运用林业调查、生态学、遥感技术、地理信息系统等多学科知识，并遵循国际通行的碳计量方法和标准体系。供应商根据本项目实际情况编制项目理解与分析方案。</w:t>
      </w:r>
    </w:p>
    <w:p w14:paraId="5DEA31E6">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2.项目监测对象选取及现状分析</w:t>
      </w:r>
    </w:p>
    <w:p w14:paraId="466FF3D9">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项目监测对象选取及现状分析是项目实施过程中的关键环节。在监测对象选取方面，需要综合考虑森林资源分布特征、碳汇功能重要性以及项目实施可行性等多重因素，优先选择具有典型性、代表性和可操作性的森林生态系统作为重点监测对象。供应商针对本项目实际情况编制项目监测对象选取及现状分析方案。</w:t>
      </w:r>
    </w:p>
    <w:p w14:paraId="2809DE98">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3.资料收集与调查</w:t>
      </w:r>
    </w:p>
    <w:p w14:paraId="16F30123">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项目的资料收集与调查工作是项目实施的重要基础环节，需要全面系统地收集项目区域内的各类相关数据和信息。具体而言，资料收集主要包括项目区的基本概况、森林资源现状等，供应商针对本项目实际情况编制资料收集与调查方案。</w:t>
      </w:r>
    </w:p>
    <w:p w14:paraId="1891DC81">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4.难点重点问题分析及解决措施</w:t>
      </w:r>
    </w:p>
    <w:p w14:paraId="739AA577">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林业碳汇计量监测项目在实施过程中面临着诸多技术性和管理性难题，例如：基础数据获取困难、监测技术标准不统一等，供应商针对本项目实际情况编制难点重点问题分析及解决措施方案。</w:t>
      </w:r>
    </w:p>
    <w:p w14:paraId="247B0AB4">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5.拟投入调查设备配置方案</w:t>
      </w:r>
    </w:p>
    <w:p w14:paraId="7E1BD21B">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为确保林业碳汇计量监测工作的科学性和准确性，保障野外工作的连续性，供应商针对本项目实际情况编制拟投入调查设备配置方案。</w:t>
      </w:r>
    </w:p>
    <w:p w14:paraId="42394C27">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6.进度安排</w:t>
      </w:r>
    </w:p>
    <w:p w14:paraId="078805B2">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进度安排应科学合理，项目应计划好明确的时间节点和质量控制标准，确保各环节紧密衔接，同时预留适当的时间缓冲以应对可能出现的突发情况，供应商针对本项目实际情况编制进度安排方案。</w:t>
      </w:r>
    </w:p>
    <w:p w14:paraId="14404901">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7.质量保证措施</w:t>
      </w:r>
    </w:p>
    <w:p w14:paraId="33BCDA7E">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为确保项目全过程的质量控制，供应商应制定完善的质量管理制度和操作规程，明确各部门和人员的质量职责。</w:t>
      </w:r>
    </w:p>
    <w:p w14:paraId="2366BB10">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8.服务承诺及合理化建议</w:t>
      </w:r>
    </w:p>
    <w:p w14:paraId="59F1FD87">
      <w:pPr>
        <w:pStyle w:val="6"/>
        <w:adjustRightInd w:val="0"/>
        <w:snapToGrid w:val="0"/>
        <w:spacing w:line="500" w:lineRule="exact"/>
        <w:ind w:firstLine="567"/>
        <w:jc w:val="left"/>
        <w:outlineLvl w:val="9"/>
        <w:rPr>
          <w:rFonts w:hint="eastAsia" w:ascii="方正仿宋_GBK" w:hAnsi="方正仿宋_GBK" w:eastAsia="方正仿宋_GBK" w:cs="方正仿宋_GBK"/>
          <w:color w:val="auto"/>
          <w:kern w:val="2"/>
          <w:sz w:val="24"/>
          <w:szCs w:val="22"/>
          <w:lang w:val="en-US" w:eastAsia="zh-CN" w:bidi="ar-SA"/>
        </w:rPr>
      </w:pPr>
      <w:r>
        <w:rPr>
          <w:rFonts w:hint="eastAsia" w:ascii="方正仿宋_GBK" w:hAnsi="方正仿宋_GBK" w:eastAsia="方正仿宋_GBK" w:cs="方正仿宋_GBK"/>
          <w:color w:val="auto"/>
          <w:kern w:val="2"/>
          <w:sz w:val="24"/>
          <w:szCs w:val="22"/>
          <w:lang w:val="en-US" w:eastAsia="zh-CN" w:bidi="ar-SA"/>
        </w:rPr>
        <w:t>供应商针对本项目实际情况编制服务承诺及合理化建议方案。</w:t>
      </w:r>
    </w:p>
    <w:p w14:paraId="1E64A22A">
      <w:pPr>
        <w:pStyle w:val="5"/>
        <w:spacing w:before="72" w:beforeLines="25" w:after="72" w:afterLines="25" w:line="500" w:lineRule="exact"/>
        <w:ind w:firstLine="567"/>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十、采购标的需实现的功能或者目标，以及为落实政府采购政策需满足的要求</w:t>
      </w:r>
    </w:p>
    <w:p w14:paraId="38CAD121">
      <w:pPr>
        <w:spacing w:line="440" w:lineRule="exact"/>
        <w:ind w:firstLine="241" w:firstLineChars="100"/>
        <w:rPr>
          <w:rFonts w:hint="eastAsia" w:ascii="方正仿宋_GBK" w:hAnsi="方正仿宋_GBK" w:eastAsia="方正仿宋_GBK" w:cs="方正仿宋_GBK"/>
          <w:b/>
          <w:color w:val="auto"/>
          <w:sz w:val="24"/>
        </w:rPr>
      </w:pPr>
      <w:r>
        <w:rPr>
          <w:rFonts w:hint="eastAsia" w:ascii="方正仿宋_GBK" w:hAnsi="方正仿宋_GBK" w:eastAsia="方正仿宋_GBK" w:cs="方正仿宋_GBK"/>
          <w:b/>
          <w:bCs/>
          <w:color w:val="auto"/>
          <w:sz w:val="24"/>
        </w:rPr>
        <w:t>本项目落实的政府采购政策对应以下序号为</w:t>
      </w:r>
      <w:r>
        <w:rPr>
          <w:rFonts w:hint="eastAsia" w:ascii="方正仿宋_GBK" w:hAnsi="方正仿宋_GBK" w:eastAsia="方正仿宋_GBK" w:cs="方正仿宋_GBK"/>
          <w:b/>
          <w:bCs/>
          <w:color w:val="auto"/>
          <w:sz w:val="24"/>
          <w:u w:val="single"/>
        </w:rPr>
        <w:t xml:space="preserve"> 1和2 </w:t>
      </w:r>
    </w:p>
    <w:p w14:paraId="59ED6FA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1.采购本国货物、工程和服务</w:t>
      </w:r>
    </w:p>
    <w:p w14:paraId="5489778B">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7CA8F261">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2.中小企业政策</w:t>
      </w:r>
    </w:p>
    <w:p w14:paraId="316CDA66">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本项目按以下第</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b/>
          <w:bCs/>
          <w:color w:val="auto"/>
          <w:sz w:val="24"/>
          <w:u w:val="single"/>
          <w:lang w:val="en-US" w:eastAsia="zh-CN"/>
        </w:rPr>
        <w:t>2</w:t>
      </w:r>
      <w:r>
        <w:rPr>
          <w:rFonts w:hint="eastAsia" w:ascii="方正仿宋_GBK" w:hAnsi="方正仿宋_GBK" w:eastAsia="方正仿宋_GBK" w:cs="方正仿宋_GBK"/>
          <w:b/>
          <w:bCs/>
          <w:color w:val="auto"/>
          <w:sz w:val="24"/>
          <w:u w:val="single"/>
        </w:rPr>
        <w:t xml:space="preserve">） </w:t>
      </w:r>
      <w:r>
        <w:rPr>
          <w:rFonts w:hint="eastAsia" w:ascii="方正仿宋_GBK" w:hAnsi="方正仿宋_GBK" w:eastAsia="方正仿宋_GBK" w:cs="方正仿宋_GBK"/>
          <w:color w:val="auto"/>
          <w:sz w:val="24"/>
        </w:rPr>
        <w:t>种政策确定本项目落实的中小企业政策：</w:t>
      </w:r>
    </w:p>
    <w:p w14:paraId="1CF94F0D">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（1）本项目专门面向中小企业（含监狱企业、残疾人福利企业）采购。</w:t>
      </w:r>
    </w:p>
    <w:p w14:paraId="1A9BE1DB">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（2）投标人提供的货物、工程或者服务符合下列情形的，对小微企业报价给予</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u w:val="single"/>
          <w:lang w:val="en-US" w:eastAsia="zh-CN"/>
        </w:rPr>
        <w:t>10</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%的扣除，用扣除后的价格参加评审。</w:t>
      </w:r>
    </w:p>
    <w:p w14:paraId="0C92BD18">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在服务采购项目中，服务由中小企业承接，即提供服务的人员为中小企业依照《中华人民共和国民法典》订立劳动合同的从业人员。</w:t>
      </w:r>
    </w:p>
    <w:p w14:paraId="3171E18B">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①参加投标的中小企业，应当按照《政府采购促进中小企业发展管理办法》（财库〔2020〕46号）规定，出具《中小企业声明函》，中小企业划型依据《关于印发中小企业划型标准规定的通知》（工信部联企业〔2011〕300 号）。</w:t>
      </w:r>
    </w:p>
    <w:p w14:paraId="1C4B3231">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34B3D353">
      <w:pPr>
        <w:spacing w:line="440" w:lineRule="exact"/>
        <w:ind w:firstLine="48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596CE42E">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K" w:hAnsi="方正仿宋_GBK" w:eastAsia="方正仿宋_GBK" w:cs="方正仿宋_GBK"/>
          <w:color w:val="auto"/>
          <w:sz w:val="24"/>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是否接受联合体以“项目基本情况”相关内容为准，是否允许大中型企业向一家或者多家小微企业分包以“供应商须知”“采购需求”相关内容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9BC30F9C-2E4B-4062-B94B-300DF9198524}"/>
  </w:font>
  <w:font w:name="方正仿宋_GBK">
    <w:panose1 w:val="02000000000000000000"/>
    <w:charset w:val="86"/>
    <w:family w:val="script"/>
    <w:pitch w:val="default"/>
    <w:sig w:usb0="A00002BF" w:usb1="38CF7CFA" w:usb2="00082016" w:usb3="00000000" w:csb0="00040001" w:csb1="00000000"/>
    <w:embedRegular r:id="rId2" w:fontKey="{4024DA98-A391-4279-8891-CF1C79048C2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NGE1ZjA3OWVhYTQxNzRkYmQwYTJjYjg4OGRkYTAifQ=="/>
  </w:docVars>
  <w:rsids>
    <w:rsidRoot w:val="417E5596"/>
    <w:rsid w:val="03E53A7C"/>
    <w:rsid w:val="10164ED0"/>
    <w:rsid w:val="103C5C8B"/>
    <w:rsid w:val="108C51BC"/>
    <w:rsid w:val="151412DC"/>
    <w:rsid w:val="3048375D"/>
    <w:rsid w:val="335D2E44"/>
    <w:rsid w:val="3EBA2645"/>
    <w:rsid w:val="3FA75717"/>
    <w:rsid w:val="417E5596"/>
    <w:rsid w:val="41DB7B5E"/>
    <w:rsid w:val="43CD549F"/>
    <w:rsid w:val="48F5501D"/>
    <w:rsid w:val="50C64E79"/>
    <w:rsid w:val="53F513BE"/>
    <w:rsid w:val="5967369D"/>
    <w:rsid w:val="6498237D"/>
    <w:rsid w:val="6BCB7ABB"/>
    <w:rsid w:val="6C4E3B5B"/>
    <w:rsid w:val="707A5E1D"/>
    <w:rsid w:val="720C7F4E"/>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customStyle="1" w:styleId="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正文_16_0_0"/>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缩进_1_0_0"/>
    <w:basedOn w:val="6"/>
    <w:unhideWhenUsed/>
    <w:qFormat/>
    <w:uiPriority w:val="0"/>
    <w:pPr>
      <w:widowControl/>
      <w:spacing w:beforeLines="0" w:afterLines="0"/>
      <w:ind w:firstLine="420"/>
      <w:jc w:val="left"/>
    </w:pPr>
    <w:rPr>
      <w:rFonts w:hint="eastAsia" w:ascii="Times New Roman" w:hAnsi="Times New Roman" w:eastAsia="Times New Roman"/>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3998</Words>
  <Characters>4099</Characters>
  <Lines>0</Lines>
  <Paragraphs>0</Paragraphs>
  <TotalTime>0</TotalTime>
  <ScaleCrop>false</ScaleCrop>
  <LinksUpToDate>false</LinksUpToDate>
  <CharactersWithSpaces>4112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2024-07-06T06:52:00Z</dcterms:created>
  <dc:creator>左手</dc:creator>
  <cp:lastModifiedBy>春暖花开</cp:lastModifiedBy>
  <dcterms:modified xsi:type="dcterms:W3CDTF">2025-11-24T04:39:34Z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84B20006B08A4494900AEF82CB38CA53_11</vt:lpwstr>
  </property>
  <property fmtid="{D5CDD505-2E9C-101B-9397-08002B2CF9AE}" pid="4" name="KSOTemplateDocerSaveRecord">
    <vt:lpwstr>eyJoZGlkIjoiM2RiZDY3MGZmNmQwNWIyMzE4OGQwOGVlN2EwM2I1NjgiLCJ1c2VySWQiOiI0MTAzODI5MzAifQ==</vt:lpwstr>
  </property>
</Properties>
</file>